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4.0 -->
  <w:background w:color="ffffff">
    <v:background id="_x0000_s1025" filled="t"/>
  </w:background>
  <w:body>
    <w:p>
      <w:pPr>
        <w:pStyle w:val="Heading1"/>
        <w:keepNext w:val="0"/>
        <w:keepLines w:val="0"/>
        <w:widowControl/>
        <w:suppressLineNumbers w:val="0"/>
        <w:spacing w:line="240" w:lineRule="auto"/>
        <w:ind w:firstLineChars="0"/>
        <w:jc w:val="center"/>
      </w:pPr>
      <w:r>
        <w:rPr>
          <w:rFonts w:ascii="黑体" w:eastAsia="黑体" w:hAnsi="宋体" w:cs="黑体"/>
          <w:sz w:val="32"/>
          <w:szCs w:val="32"/>
        </w:rPr>
        <w:t>临床医学(跨学科协同育人实验班)</w:t>
      </w:r>
      <w:r>
        <w:rPr>
          <w:rFonts w:ascii="黑体" w:eastAsia="黑体" w:hAnsi="宋体" w:cs="黑体" w:hint="eastAsia"/>
          <w:sz w:val="32"/>
          <w:szCs w:val="32"/>
        </w:rPr>
        <w:t>专业人才培养方案（2026版）</w:t>
      </w:r>
    </w:p>
    <w:p>
      <w:pPr>
        <w:pStyle w:val="Heading1"/>
        <w:keepNext w:val="0"/>
        <w:keepLines w:val="0"/>
        <w:widowControl/>
        <w:suppressLineNumbers w:val="0"/>
        <w:spacing w:line="240" w:lineRule="auto"/>
        <w:ind w:firstLineChars="0"/>
        <w:jc w:val="center"/>
      </w:pPr>
      <w:r>
        <w:rPr>
          <w:rFonts w:ascii="黑体" w:eastAsia="黑体" w:hAnsi="宋体" w:cs="黑体" w:hint="eastAsia"/>
          <w:sz w:val="24"/>
          <w:szCs w:val="24"/>
        </w:rPr>
        <w:t>(专业代码：100201K)</w:t>
      </w:r>
    </w:p>
    <w:p>
      <w:pPr>
        <w:pStyle w:val="Heading2"/>
        <w:keepNext w:val="0"/>
        <w:keepLines w:val="0"/>
        <w:widowControl/>
        <w:suppressLineNumbers w:val="0"/>
        <w:spacing w:line="360" w:lineRule="auto"/>
        <w:ind w:left="0" w:firstLine="420"/>
      </w:pPr>
      <w:r>
        <w:rPr>
          <w:rFonts w:ascii="黑体" w:eastAsia="黑体" w:hAnsi="宋体" w:cs="黑体" w:hint="eastAsia"/>
          <w:sz w:val="24"/>
          <w:szCs w:val="24"/>
        </w:rPr>
        <w:t>一、专业介绍</w:t>
      </w:r>
    </w:p>
    <w:p>
      <w:pPr>
        <w:pStyle w:val="customp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 w:firstLine="420"/>
      </w:pPr>
      <w:r>
        <w:t>临床医学专业（临床医学跨学科协同育人实验班），学制五年，专业门类为临床医学类。</w:t>
      </w:r>
    </w:p>
    <w:p>
      <w:pPr>
        <w:pStyle w:val="customp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 w:firstLine="420"/>
      </w:pPr>
      <w:r>
        <w:t>河北大学医学教育最早始于1949年9月建立的河北省卫生干部训练所，学校历经河北省保定卫生学校、保定医学院、保定地区卫生学校等发展历程，1983年改建为河北省职工医学院，2005年5月并入河北大学，2006年开始招收临床医学专业五年制本科学生。</w:t>
      </w:r>
    </w:p>
    <w:p>
      <w:pPr>
        <w:pStyle w:val="customp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 w:firstLine="412"/>
      </w:pPr>
      <w:r>
        <w:t>本专业于2019年通过国家教育部临床医学专业认证，目前为国家级一流本科专业建设点。本专业师资力量雄厚，教师队伍结构合理，承担多项省级教学改革项目，拥有国家级虚拟仿真实验室1个，一个省级优秀基层教学组织及多个校级优秀基层教学组织。</w:t>
      </w:r>
    </w:p>
    <w:p>
      <w:pPr>
        <w:pStyle w:val="customp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 w:firstLine="420"/>
      </w:pPr>
      <w:r>
        <w:t>本专业拥有良好的办学条件与教育环境。支持本专业的主干学科为基础医学和临床医学。具有临床医学一级学科博士学位授权点，基础医学和临床医学一级学科硕士学位授权点，药理学二级学科硕士学位授权点；拥有多个河北省重点实验室。附属医院是集医疗、 教学、科研、预防保健、康复为一体的三级甲等综合性医院，目前是国家级重点专科建设单位、省级临床重点专科建设单位。拥有省级重点学科、临床重点专科培育单位多个。附属医院设有博士后科研工作站、院士工作站，是国家级住院医师和专科医师规范化培训基地、国家首批临床教学培训示范中心、国家药物临床试验机构。</w:t>
      </w:r>
    </w:p>
    <w:p>
      <w:pPr>
        <w:pStyle w:val="customp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 w:firstLine="420"/>
      </w:pPr>
      <w:r>
        <w:t>为主动适应新医科建设要求，积极响应“健康中国”战略，应对人工智能、大数据等高新技术对现代医学的深刻变革，本专业设立“临床医学跨学科协同育人实验班”（以下称“实验班”）。该实验班充分发挥河北大学综合性大学优势，联合数学与信息科学学院、计算机教学部共建。目前拥有省级优秀交叉融合基层教学组织以及科研交叉创新团队，在医学与理学、工学深度融合方面积累了丰富的教学与科研经验，为实验班的多学科协同育人提供了坚实的师资保障和平台支撑。实验班突破传统医学教育边界，推动医学与工学、理学深度交叉融合，实行跨学科导师制与双辅导员制，构建“医学+X”协同育人体系，旨在培养具备多学科视野和创新潜力的复合型卓越医学人才。</w:t>
      </w:r>
    </w:p>
    <w:p>
      <w:pPr>
        <w:pStyle w:val="Heading2"/>
        <w:keepNext w:val="0"/>
        <w:keepLines w:val="0"/>
        <w:widowControl/>
        <w:suppressLineNumbers w:val="0"/>
        <w:spacing w:line="360" w:lineRule="auto"/>
        <w:ind w:left="0" w:firstLine="420"/>
      </w:pPr>
      <w:r>
        <w:rPr>
          <w:rFonts w:ascii="黑体" w:eastAsia="黑体" w:hAnsi="宋体" w:cs="黑体" w:hint="eastAsia"/>
          <w:sz w:val="24"/>
          <w:szCs w:val="24"/>
        </w:rPr>
        <w:t>二、培养目标</w:t>
      </w:r>
    </w:p>
    <w:p>
      <w:pPr>
        <w:pStyle w:val="customp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 </w:t>
      </w:r>
    </w:p>
    <w:p>
      <w:pPr>
        <w:pStyle w:val="NormalWeb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firstLine="482"/>
        <w:rPr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本专业立足国家医疗卫生事业发展需求，培养德智体美劳全面发展，具有坚定理想信念、深厚家国情怀、医者仁心与职业操守，系统掌握基础医学与临床医学核心理论、知识与技能，具备临床诊疗、医患沟通、终身学习、初步科研与智能医学应用素养，能够在各级医疗机构、公共卫生单位从事医疗、预防、保健、教学与科研工作，毕业后 5 年左右成为胜任临床岗位、具备持续发展潜力的高素质卓越医学人才。 实验班立足国家医疗卫生事业发展需求，培养德智体美劳全面发展，具有坚定理想信念、深厚家国情怀、医者仁心与职业操守，系统掌握基础医学与临床医学核心理论、知识与技能，具备突出的多学科交叉融合能力、临床诊疗能力、医患沟通能力、终身学习能力、初步科研能力以及智能医学应用素养。能够在各级医疗机构、公共卫生单位从事医疗、预防、保健、教学与科研工作，毕业后 5 年左右成为胜任临床岗位、具备持续发展潜力的复合型高素质卓越医学人才。</w:t>
      </w:r>
    </w:p>
    <w:p>
      <w:pPr>
        <w:pStyle w:val="NormalWeb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firstLine="482"/>
        <w:jc w:val="both"/>
        <w:rPr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培养目标1具备优良医德、人文关怀素养与依法行医意识，恪守医师职业精神。</w:t>
      </w:r>
    </w:p>
    <w:p>
      <w:pPr>
        <w:pStyle w:val="NormalWeb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firstLine="482"/>
        <w:jc w:val="both"/>
        <w:rPr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培养目标2系统掌握基础医学、临床医学核心知识体系，满足临床执业需求。</w:t>
      </w:r>
    </w:p>
    <w:p>
      <w:pPr>
        <w:pStyle w:val="NormalWeb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firstLine="482"/>
        <w:jc w:val="both"/>
        <w:rPr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培养目标3具备规范临床技能、临床思维与常见病、多发病、急症诊疗能力及终身学习能力。</w:t>
      </w:r>
    </w:p>
    <w:p>
      <w:pPr>
        <w:pStyle w:val="NormalWeb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firstLine="482"/>
        <w:jc w:val="both"/>
        <w:rPr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培养目标4具备循证医学思维、团队协作与较强的科研创新能力，初步运用交叉学科知识解决医学问题的意识与能力。</w:t>
      </w:r>
    </w:p>
    <w:p>
      <w:pPr>
        <w:pStyle w:val="NormalWeb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firstLine="482"/>
        <w:jc w:val="both"/>
        <w:rPr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培养目标5具备健康管理、公共卫生意识与与适应智慧医疗发展的跨学科综合素养。</w:t>
      </w:r>
    </w:p>
    <w:p>
      <w:pPr>
        <w:pStyle w:val="Heading2"/>
        <w:keepNext w:val="0"/>
        <w:keepLines w:val="0"/>
        <w:widowControl/>
        <w:suppressLineNumbers w:val="0"/>
        <w:spacing w:line="360" w:lineRule="auto"/>
        <w:ind w:left="0" w:firstLine="420"/>
      </w:pPr>
      <w:r>
        <w:rPr>
          <w:rFonts w:ascii="黑体" w:eastAsia="黑体" w:hAnsi="宋体" w:cs="黑体" w:hint="eastAsia"/>
          <w:sz w:val="24"/>
          <w:szCs w:val="24"/>
        </w:rPr>
        <w:t>三、毕业要求</w:t>
      </w:r>
    </w:p>
    <w:p>
      <w:pPr>
        <w:pStyle w:val="customp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 w:firstLine="420"/>
      </w:pPr>
      <w:r>
        <w:t>临床医学专业本科毕业生应树立正确的世界观、人生观、价值观，热爱祖国，德智体美劳全面发展。忠于人民，遵纪守法，愿为祖国医药卫生与健康事业的发展和人类身心健康奋斗终生。</w:t>
      </w:r>
    </w:p>
    <w:p>
      <w:pPr>
        <w:pStyle w:val="customp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 w:firstLine="420"/>
      </w:pPr>
      <w:r>
        <w:t>实验班学生主要通过学习临床医学的基本理论和基本知识，以及数学、大数据、人工智能等交叉学科核心知识，接受临床技能和多学科科研思维的基本训练，掌握临床诊疗的基本能力，最终形成具有多学科视野和创新意识的高素质医学人才的基本素养。</w:t>
      </w:r>
    </w:p>
    <w:p>
      <w:pPr>
        <w:pStyle w:val="customp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 w:firstLine="420"/>
      </w:pPr>
      <w:r>
        <w:t>具体应达到以下四个方面的要求：</w:t>
      </w:r>
    </w:p>
    <w:p>
      <w:pPr>
        <w:pStyle w:val="customp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 w:firstLine="420"/>
      </w:pPr>
      <w:r>
        <w:rPr>
          <w:rFonts w:ascii="宋体" w:eastAsia="宋体" w:hAnsi="宋体" w:cs="宋体" w:hint="eastAsia"/>
          <w:sz w:val="24"/>
          <w:szCs w:val="24"/>
        </w:rPr>
        <w:t>本专业毕业生应掌握的知识、具备的能力和养成的素质：</w:t>
      </w:r>
    </w:p>
    <w:tbl>
      <w:tblPr>
        <w:tblW w:w="5000" w:type="pct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outset" w:sz="6" w:space="0" w:color="auto"/>
          <w:insideV w:val="outset" w:sz="6" w:space="0" w:color="auto"/>
        </w:tblBorders>
        <w:shd w:val="clear" w:color="auto" w:fill="auto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01"/>
        <w:gridCol w:w="5835"/>
      </w:tblGrid>
      <w:tr>
        <w:tblPrEx>
          <w:tblW w:w="5000" w:type="pct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outset" w:sz="6" w:space="0" w:color="auto"/>
            <w:insideV w:val="outset" w:sz="6" w:space="0" w:color="auto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毕业要求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指标点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毕业要求1 科学和学术领域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1.1 具备自然科学、人文社会科学、医学等学科的基础知识，以及与医学相关的大数据、人工智能等交叉学科的基础知识。掌握科学方法，并能用于指导未来的学习和医学实践。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1.2 能够应用医学及交叉学科知识处理个体、群体和卫生系统中与医学或者健康相关的问题。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1.3 能够理解和描述生命各阶段疾病的预防和疾病的病因、发病机制、病程、临床表现、诊断、治疗、转归、预后及康复。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1.4 能够掌握中医药学的基本特点和诊疗基本原则。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1.5 能够获取、甄别、理解并应用医学及相关交叉学科的科学文献中的证据。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1.6 能够应用常用的科学方法，提出相应的科学问题并进行探讨。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毕业要求2 临床能力领域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2.1 具有良好的交流沟通能力，能够与患者及其家属或监护人、同行和其他卫生专业人员等进行有效的交流。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2.2 能够全面、系统、正确地采集病史。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2.3 能够系统、规范地进行体格检查及精神状态评价，规范地书写病历。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2.4 能够依据病史和体格检查中的发现，形成初步判断，并进行鉴别诊断，提出合理的治疗原则。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2.5 能够根据患者的病情、安全和成本效益等因素，选择适宜的临床检查方法，理解智能辅助诊断工具的应用，对检查结果能做出判断和解释。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2.6 能够选择并安全地实施常用的临床基本操作。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2.7 能够根据不断获取的证据做出临床判断和决策，在上级医师指导下确定进一步的诊疗方案并说明其合理性。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2.8 能够了解患者的问题、意见、关注点和偏好，使患者及其家属或监护人充分理解病情；就诊疗方案的风险和益处同患者及其家属或监护人进行沟通，并共同制订诊疗计划（医患共同决策）。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2.9 能够及时向患者及其家属或监护人提供相关信息，使他们在充分知情的前提下选择诊疗方案。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2.10 能够将疾病预防、早期发现、卫生保健和慢性疾病管理等知识和理念应用于临床实践。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2.11 能够依据客观证据，提出安全、有效、经济的治疗方案。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2.12 能够发现并评价病情的变化及严重程度，对需要紧急处理的患者进行可能的急救处理。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2.13 能够掌握临终患者的治疗原则，与患者家属或监护人沟通。用对症、心理支持等姑息治疗的方法达到人道主义的目的，提高患者的死亡质量。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2.14 能够在临床信息系统中有效地检索、解读和记录信息。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毕业要求3 健康与社会领域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3.1 具有保护并促进个体和人群健康的责任意识。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3.2 能够了解影响人群健康、疾病诊断和有效治疗的因素，包括健康公平性，文化和社会价值观的多样性，社会经济、心理状态和自然环境等因素，以及大数据、人工智能等新技术带来的伦理与社会影响。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3.3 能够在不同情境下以不同的角色进行有效沟通，如医生、健康倡导者、研究者等。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3.4 能够解释和评估人群的健康检查和预防措施，包括人群健康状况的监测、患者随访、用药、康复治疗及其他方面的指导等。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3.5 能够了解医院医疗质量保障和医疗安全管理体系，明确自己的业务能力与权限，重视患者安全，及时识别对患者不利的危险因素。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3.6 能够了解我国医疗卫生系统的结构和功能，以及各组成部门的职能和相互关系，理解合理分配有限资源的原则，以满足个人、群体和国家对健康的需求。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3.7 能够了解全球健康问题以及健康和疾病的影响因素。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毕业要求4 职业精神与素养领域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4.1 能够根据《中国医师道德准则》，为所有患者提供人道主义的医疗服务。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4.2 能够了解医疗卫生领域职业精神的内涵，在工作中养成同理心、尊重患者和提供优质服务等行为，形成真诚、正直、团队合作和领导力等素养，并具备在多学科团队中协同创新的意识。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4.3 能够掌握医学伦理学的主要原理，并将其应用于医疗服务中。能够与患者及其家属或监护人、同行和其他卫生专业人员等有效地沟通伦理问题。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4.4 能够了解影响医生健康的因素，如疲劳、压力和交叉感染等，并注意在医疗服务中有意识地控制这些因素，同时知晓自身健康对患者可能构成的风险。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4.5 能够了解并遵守医疗行业的基本法律法规和职业道德。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4.6 能够意识到自己专业知识的局限性，尊重其他卫生从业人员，并注重相互合作和学习。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4.7 树立自主学习、终身学习和跨学科探索的观念，认识到在快速发展的医学和智能科技时代自我完善、不断追求卓越的重要性。</w:t>
            </w:r>
          </w:p>
        </w:tc>
      </w:tr>
    </w:tbl>
    <w:p>
      <w:pPr>
        <w:rPr>
          <w:rFonts w:ascii="Calibri" w:eastAsia="宋体" w:hAnsi="Calibri" w:cs="Times New Roman" w:hint="eastAsia"/>
          <w:kern w:val="2"/>
          <w:sz w:val="21"/>
          <w:szCs w:val="21"/>
        </w:rPr>
        <w:sectPr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</w:p>
    <w:p>
      <w:pPr>
        <w:pStyle w:val="Heading2"/>
        <w:keepNext w:val="0"/>
        <w:keepLines w:val="0"/>
        <w:widowControl/>
        <w:suppressLineNumbers w:val="0"/>
        <w:spacing w:line="360" w:lineRule="auto"/>
        <w:ind w:left="0" w:firstLine="420"/>
      </w:pPr>
      <w:r>
        <w:rPr>
          <w:rFonts w:ascii="黑体" w:eastAsia="黑体" w:hAnsi="宋体" w:cs="黑体" w:hint="eastAsia"/>
          <w:sz w:val="24"/>
          <w:szCs w:val="24"/>
        </w:rPr>
        <w:t>四、培养目标与毕业要求支撑关系矩阵图</w:t>
      </w:r>
    </w:p>
    <w:tbl>
      <w:tblPr>
        <w:tblW w:w="5000" w:type="pct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outset" w:sz="6" w:space="0" w:color="auto"/>
          <w:insideV w:val="outset" w:sz="6" w:space="0" w:color="auto"/>
        </w:tblBorders>
        <w:shd w:val="clear" w:color="auto" w:fill="auto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50"/>
        <w:gridCol w:w="2341"/>
        <w:gridCol w:w="2341"/>
        <w:gridCol w:w="2341"/>
        <w:gridCol w:w="2341"/>
        <w:gridCol w:w="2341"/>
      </w:tblGrid>
      <w:tr>
        <w:tblPrEx>
          <w:tblW w:w="5000" w:type="pct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outset" w:sz="6" w:space="0" w:color="auto"/>
            <w:insideV w:val="outset" w:sz="6" w:space="0" w:color="auto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毕业要求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培养目标1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培养目标2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培养目标3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培养目标4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培养目标5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毕业要求1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√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毕业要求2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√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毕业要求3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√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毕业要求4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√</w:t>
            </w:r>
          </w:p>
        </w:tc>
      </w:tr>
    </w:tbl>
    <w:p>
      <w:pPr>
        <w:rPr>
          <w:rFonts w:ascii="Calibri" w:eastAsia="宋体" w:hAnsi="Calibri" w:cs="Times New Roman" w:hint="eastAsia"/>
          <w:kern w:val="2"/>
          <w:sz w:val="21"/>
          <w:szCs w:val="21"/>
        </w:rPr>
        <w:sectPr>
          <w:pgSz w:w="16838" w:h="11906" w:orient="landscape"/>
          <w:pgMar w:top="1800" w:right="1440" w:bottom="1800" w:left="1440" w:header="851" w:footer="992" w:gutter="0"/>
          <w:cols w:num="1" w:space="425"/>
          <w:docGrid w:type="lines" w:linePitch="312" w:charSpace="0"/>
        </w:sectPr>
      </w:pPr>
    </w:p>
    <w:p>
      <w:pPr>
        <w:pStyle w:val="Heading2"/>
        <w:keepNext w:val="0"/>
        <w:keepLines w:val="0"/>
        <w:widowControl/>
        <w:suppressLineNumbers w:val="0"/>
        <w:spacing w:line="360" w:lineRule="auto"/>
        <w:ind w:left="0" w:firstLine="420"/>
      </w:pPr>
      <w:r>
        <w:rPr>
          <w:rFonts w:ascii="黑体" w:eastAsia="黑体" w:hAnsi="宋体" w:cs="黑体" w:hint="eastAsia"/>
          <w:sz w:val="24"/>
          <w:szCs w:val="24"/>
        </w:rPr>
        <w:t>五、主干学科</w:t>
      </w:r>
    </w:p>
    <w:p>
      <w:pPr>
        <w:pStyle w:val="customp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 w:firstLine="420"/>
      </w:pPr>
      <w:r>
        <w:rPr>
          <w:rFonts w:ascii="宋体" w:eastAsia="宋体" w:hAnsi="宋体" w:cs="宋体" w:hint="eastAsia"/>
          <w:sz w:val="21"/>
          <w:szCs w:val="21"/>
        </w:rPr>
        <w:t>基础医学、临床医学</w:t>
      </w:r>
    </w:p>
    <w:p>
      <w:pPr>
        <w:pStyle w:val="Heading2"/>
        <w:keepNext w:val="0"/>
        <w:keepLines w:val="0"/>
        <w:widowControl/>
        <w:suppressLineNumbers w:val="0"/>
        <w:spacing w:line="360" w:lineRule="auto"/>
        <w:ind w:left="0" w:firstLine="420"/>
      </w:pPr>
      <w:r>
        <w:rPr>
          <w:rFonts w:ascii="黑体" w:eastAsia="黑体" w:hAnsi="宋体" w:cs="黑体" w:hint="eastAsia"/>
          <w:sz w:val="24"/>
          <w:szCs w:val="24"/>
        </w:rPr>
        <w:t>六、标准学制</w:t>
      </w:r>
    </w:p>
    <w:p>
      <w:pPr>
        <w:pStyle w:val="customp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 w:firstLine="420"/>
      </w:pPr>
      <w:r>
        <w:rPr>
          <w:rFonts w:ascii="宋体" w:eastAsia="宋体" w:hAnsi="宋体" w:cs="宋体" w:hint="eastAsia"/>
          <w:sz w:val="21"/>
          <w:szCs w:val="21"/>
        </w:rPr>
        <w:t>5。</w:t>
      </w:r>
    </w:p>
    <w:p>
      <w:pPr>
        <w:pStyle w:val="Heading2"/>
        <w:keepNext w:val="0"/>
        <w:keepLines w:val="0"/>
        <w:widowControl/>
        <w:suppressLineNumbers w:val="0"/>
        <w:spacing w:line="360" w:lineRule="auto"/>
        <w:ind w:left="0" w:firstLine="420"/>
      </w:pPr>
      <w:r>
        <w:rPr>
          <w:rFonts w:ascii="黑体" w:eastAsia="黑体" w:hAnsi="宋体" w:cs="黑体" w:hint="eastAsia"/>
          <w:sz w:val="24"/>
          <w:szCs w:val="24"/>
        </w:rPr>
        <w:t>七、核心课程与主要实践性教学环节</w:t>
      </w:r>
    </w:p>
    <w:p>
      <w:pPr>
        <w:pStyle w:val="customp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 w:firstLine="420"/>
      </w:pPr>
      <w:r>
        <w:t>核心课程</w:t>
      </w:r>
    </w:p>
    <w:p>
      <w:pPr>
        <w:pStyle w:val="customp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 w:firstLine="420"/>
      </w:pPr>
      <w:r>
        <w:t>Python与人工智能程序设计、系统解剖学、组织胚胎学、生理学、生物化学与分子生物学、病理学、病理生理学、药理学、医学免疫学、病原生物学、诊断学、内科学、外科学、妇产科学、儿科学、传染病学、神经病学、精神病学、中医学、循证医学、医学伦理学、流行病学、医学统计学。</w:t>
      </w:r>
    </w:p>
    <w:p>
      <w:pPr>
        <w:pStyle w:val="customp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 w:firstLine="420"/>
      </w:pPr>
      <w:r>
        <w:t>主要实践环节</w:t>
      </w:r>
    </w:p>
    <w:p>
      <w:pPr>
        <w:pStyle w:val="customp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 w:firstLine="420"/>
      </w:pPr>
      <w:r>
        <w:t>基础医学实验、临床技能训练、临床见习、早期临床实践、PBL 实践、科研训练、毕业实习（48 周）、社会实践、劳动教育。</w:t>
      </w:r>
    </w:p>
    <w:p>
      <w:pPr>
        <w:pStyle w:val="Heading2"/>
        <w:keepNext w:val="0"/>
        <w:keepLines w:val="0"/>
        <w:widowControl/>
        <w:suppressLineNumbers w:val="0"/>
        <w:spacing w:line="360" w:lineRule="auto"/>
        <w:ind w:left="0" w:firstLine="420"/>
      </w:pPr>
      <w:r>
        <w:rPr>
          <w:rFonts w:ascii="黑体" w:eastAsia="黑体" w:hAnsi="宋体" w:cs="黑体" w:hint="eastAsia"/>
          <w:sz w:val="24"/>
          <w:szCs w:val="24"/>
        </w:rPr>
        <w:t>八、授予学位</w:t>
      </w:r>
    </w:p>
    <w:p>
      <w:pPr>
        <w:pStyle w:val="customp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医学学士。</w:t>
      </w:r>
    </w:p>
    <w:p>
      <w:pPr>
        <w:pStyle w:val="customp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 w:firstLine="420"/>
      </w:pPr>
      <w:r>
        <w:t>毕业及授予学位：在规定的修业年限内，学生完成全部的课程学习和实践环节的训练， 达到毕业学分要求，准予毕业，颁发临床医学本科毕业证书。符合河北大学学士学位授予条件者，授予临床医学学士学位。</w:t>
      </w:r>
    </w:p>
    <w:p>
      <w:pPr>
        <w:pStyle w:val="Heading2"/>
        <w:keepNext w:val="0"/>
        <w:keepLines w:val="0"/>
        <w:widowControl/>
        <w:suppressLineNumbers w:val="0"/>
        <w:spacing w:line="360" w:lineRule="auto"/>
        <w:ind w:left="0" w:firstLine="420"/>
      </w:pPr>
      <w:r>
        <w:rPr>
          <w:rFonts w:ascii="黑体" w:eastAsia="黑体" w:hAnsi="宋体" w:cs="黑体" w:hint="eastAsia"/>
          <w:sz w:val="24"/>
          <w:szCs w:val="24"/>
        </w:rPr>
        <w:t> 九、毕业学分要求</w:t>
      </w:r>
    </w:p>
    <w:p>
      <w:pPr>
        <w:pStyle w:val="Heading3"/>
        <w:keepNext w:val="0"/>
        <w:keepLines w:val="0"/>
        <w:widowControl/>
        <w:suppressLineNumbers w:val="0"/>
        <w:spacing w:line="360" w:lineRule="auto"/>
        <w:ind w:left="0" w:firstLine="420"/>
      </w:pPr>
      <w:r>
        <w:rPr>
          <w:rFonts w:ascii="黑体" w:eastAsia="黑体" w:hAnsi="宋体" w:cs="黑体" w:hint="eastAsia"/>
          <w:sz w:val="24"/>
          <w:szCs w:val="24"/>
        </w:rPr>
        <w:t>（一）第一课堂</w:t>
      </w:r>
    </w:p>
    <w:tbl>
      <w:tblPr>
        <w:tblW w:w="5000" w:type="pct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outset" w:sz="6" w:space="0" w:color="auto"/>
          <w:insideV w:val="outset" w:sz="6" w:space="0" w:color="auto"/>
        </w:tblBorders>
        <w:shd w:val="clear" w:color="auto" w:fill="auto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939"/>
        <w:gridCol w:w="939"/>
        <w:gridCol w:w="939"/>
        <w:gridCol w:w="939"/>
        <w:gridCol w:w="940"/>
        <w:gridCol w:w="940"/>
        <w:gridCol w:w="940"/>
        <w:gridCol w:w="940"/>
        <w:gridCol w:w="940"/>
      </w:tblGrid>
      <w:tr>
        <w:tblPrEx>
          <w:tblW w:w="5000" w:type="pct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outset" w:sz="6" w:space="0" w:color="auto"/>
            <w:insideV w:val="outset" w:sz="6" w:space="0" w:color="auto"/>
          </w:tblBorders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Header/>
        </w:trPr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课程类别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课程模块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课程性质</w:t>
            </w:r>
          </w:p>
        </w:tc>
        <w:tc>
          <w:tcPr>
            <w:tcW w:w="11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理论教学环节</w:t>
            </w:r>
          </w:p>
        </w:tc>
        <w:tc>
          <w:tcPr>
            <w:tcW w:w="165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实验实践教学环节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学时合计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Header/>
        </w:trPr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学分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学时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学分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实验/实践学时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实践周数</w:t>
            </w: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通识教育课程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通识通修课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必修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37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638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7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186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2周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824/2周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通识通选课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选修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102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周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102/周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专业教育课程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平台基础课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必修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68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周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102/周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专业基础课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必修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48.5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826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14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476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周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1302/周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专业核心课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必修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40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686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59.5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475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48周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1161/48周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个性化教育课程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专业进阶课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选修 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6.5 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110 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9.5 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145 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6周 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255/6周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专业交叉课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选修 </w:t>
            </w: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专业自主课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选修 </w:t>
            </w: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27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合计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142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2430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91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1316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56周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3746/56周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27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毕业总学分 </w:t>
            </w:r>
          </w:p>
        </w:tc>
        <w:tc>
          <w:tcPr>
            <w:tcW w:w="556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233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639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比例类别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学分数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比例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639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“选修课程”学分与占毕业总学分比例(≥32%)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22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9.44%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639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“实验实践环节”学分与占毕业总学分比例(文科类≥22%、理科类≥27%、工医类≥30%)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91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39.06% </w:t>
            </w:r>
          </w:p>
        </w:tc>
      </w:tr>
    </w:tbl>
    <w:p>
      <w:pPr>
        <w:pStyle w:val="Heading3"/>
        <w:keepNext w:val="0"/>
        <w:keepLines w:val="0"/>
        <w:widowControl/>
        <w:suppressLineNumbers w:val="0"/>
        <w:spacing w:line="360" w:lineRule="auto"/>
        <w:ind w:left="0" w:firstLine="420"/>
      </w:pPr>
      <w:r>
        <w:rPr>
          <w:rFonts w:ascii="黑体" w:eastAsia="黑体" w:hAnsi="宋体" w:cs="黑体" w:hint="eastAsia"/>
          <w:sz w:val="24"/>
          <w:szCs w:val="24"/>
        </w:rPr>
        <w:t>（二）第二课堂</w:t>
      </w:r>
    </w:p>
    <w:p>
      <w:pPr>
        <w:pStyle w:val="customp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 w:firstLine="420"/>
      </w:pPr>
      <w:r>
        <w:rPr>
          <w:rFonts w:ascii="宋体" w:eastAsia="宋体" w:hAnsi="宋体" w:cs="宋体" w:hint="eastAsia"/>
          <w:sz w:val="21"/>
          <w:szCs w:val="21"/>
        </w:rPr>
        <w:t>具体内容详见《河北大学本科生第二课堂人才培养方案》。</w:t>
      </w:r>
    </w:p>
    <w:p>
      <w:pPr>
        <w:pStyle w:val="Heading2"/>
        <w:keepNext w:val="0"/>
        <w:keepLines w:val="0"/>
        <w:widowControl/>
        <w:suppressLineNumbers w:val="0"/>
        <w:spacing w:line="360" w:lineRule="auto"/>
        <w:ind w:left="0" w:firstLine="420"/>
      </w:pPr>
      <w:r>
        <w:rPr>
          <w:rFonts w:ascii="黑体" w:eastAsia="黑体" w:hAnsi="宋体" w:cs="黑体" w:hint="eastAsia"/>
          <w:sz w:val="24"/>
          <w:szCs w:val="24"/>
        </w:rPr>
        <w:t>十、课程设置及教学进程计划表</w:t>
      </w:r>
    </w:p>
    <w:p>
      <w:pPr>
        <w:pStyle w:val="Heading3"/>
        <w:keepNext w:val="0"/>
        <w:keepLines w:val="0"/>
        <w:widowControl/>
        <w:suppressLineNumbers w:val="0"/>
        <w:spacing w:line="360" w:lineRule="auto"/>
        <w:ind w:left="0" w:firstLine="420"/>
      </w:pPr>
      <w:r>
        <w:rPr>
          <w:rFonts w:ascii="黑体" w:eastAsia="黑体" w:hAnsi="宋体" w:cs="黑体" w:hint="eastAsia"/>
          <w:sz w:val="24"/>
          <w:szCs w:val="24"/>
        </w:rPr>
        <w:t>（一）通识教育课程（50学分）</w:t>
      </w:r>
    </w:p>
    <w:p>
      <w:pPr>
        <w:pStyle w:val="Heading4"/>
        <w:keepNext w:val="0"/>
        <w:keepLines w:val="0"/>
        <w:widowControl/>
        <w:suppressLineNumbers w:val="0"/>
        <w:spacing w:line="360" w:lineRule="auto"/>
        <w:ind w:left="0" w:firstLine="420"/>
      </w:pPr>
      <w:r>
        <w:rPr>
          <w:rFonts w:ascii="黑体" w:eastAsia="黑体" w:hAnsi="宋体" w:cs="黑体" w:hint="eastAsia"/>
          <w:sz w:val="24"/>
          <w:szCs w:val="24"/>
        </w:rPr>
        <w:t>1.通识通修课（共修读44学分，其中实践实验环节修读7学分）</w:t>
      </w:r>
    </w:p>
    <w:tbl>
      <w:tblPr>
        <w:tblW w:w="5000" w:type="pct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outset" w:sz="6" w:space="0" w:color="auto"/>
          <w:insideV w:val="outset" w:sz="6" w:space="0" w:color="auto"/>
        </w:tblBorders>
        <w:shd w:val="clear" w:color="auto" w:fill="auto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692"/>
        <w:gridCol w:w="2820"/>
        <w:gridCol w:w="564"/>
        <w:gridCol w:w="564"/>
        <w:gridCol w:w="564"/>
        <w:gridCol w:w="563"/>
        <w:gridCol w:w="563"/>
        <w:gridCol w:w="563"/>
        <w:gridCol w:w="563"/>
      </w:tblGrid>
      <w:tr>
        <w:tblPrEx>
          <w:tblW w:w="5000" w:type="pct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outset" w:sz="6" w:space="0" w:color="auto"/>
            <w:insideV w:val="outset" w:sz="6" w:space="0" w:color="auto"/>
          </w:tblBorders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Header/>
        </w:trPr>
        <w:tc>
          <w:tcPr>
            <w:tcW w:w="7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课程编号</w:t>
            </w:r>
          </w:p>
        </w:tc>
        <w:tc>
          <w:tcPr>
            <w:tcW w:w="1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课程名称</w:t>
            </w:r>
          </w:p>
        </w:tc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考核类型</w:t>
            </w:r>
          </w:p>
        </w:tc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学分</w:t>
            </w:r>
          </w:p>
        </w:tc>
        <w:tc>
          <w:tcPr>
            <w:tcW w:w="1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学时</w:t>
            </w:r>
          </w:p>
        </w:tc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开课学期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Header/>
        </w:trPr>
        <w:tc>
          <w:tcPr>
            <w:tcW w:w="7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12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2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2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小计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理论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实验/实践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实践</w:t>
            </w:r>
          </w:p>
        </w:tc>
        <w:tc>
          <w:tcPr>
            <w:tcW w:w="2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3126G00002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大学生思想文化素养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3126G00003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中国共产党历史与理论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3126G00004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马克思主义基本原理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3126G00001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习近平新时代中国特色社会主义思想概论An Introduction to Xi Jinping Thought on Socialism with Chinese Characteristics for a New Era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3126G00005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新时代实践教育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3126G00008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国家安全教育National Security Education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3126G00009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中华民族共同体概论Introduction to the Chinese National Community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7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3226G00001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大学英语1College English 1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3226G00002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大学英语2College English 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3226G00003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大学英语3College English 3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3226G00008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医学英语English for Medical Purposes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3426G00004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大学计算机与人工智能DFundamentals of Computer Science and AI D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3326G00001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大学体育1：排球基础、校操与游泳College Physical Education 1 ：Volleyball Basics、College Calisthenics and Swimming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36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36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3326G00002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大学体育2：基础素质、校拳与游泳College Physical Education 2: Basic Fitness Training、College Martial Arts and Swimming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36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36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3326G00003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大学体育3：体育专项初级College Physical Education 3: Elementary Specialized Sports Programs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36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36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3326G00004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大学体育4：体育专项高级College Physical Education 4: Advanced Specialized Sports Programs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36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36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9226G00001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人文经典与通用写作Humanities Classics and General Writing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3726G00001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军事理论Military Theory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36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36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3726G00002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军事技能Military Training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2周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2周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3726G00003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大学生心理健康教育Mental Health Education of College Students Student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6426G00001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大学生职业生涯规划Career Planning for College Students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26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8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1,3,5,7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6426G00002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创新创业思维Innovation and Entrepreneurship Thinking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0826GRS001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艺术导论Introduction to Art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2-6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0826GRS002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美学概论Introduction to Aesthetics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2-6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0826GRS003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中西方美术史History of Chinese and Western Art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2-6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0826GRS004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中西方音乐史History of Chinese and Western Music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2-6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0826GRS005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文艺理论Theory of Literature and Art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2-6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0826GRS006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音乐鉴赏Music Appreciation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2-6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0826GRS007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美术鉴赏Fine Arts Appreciation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2-6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0826GRS008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影视鉴赏Film and TV Series Appreciation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2-6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0826GRS009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舞蹈鉴赏Dance Appreciation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2-6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0826GRS010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戏剧鉴赏Drama Appreciation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2-6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0826GRS011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戏曲鉴赏Chinese Opera Appreciation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2-6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0826GRS012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书法鉴赏Calligraphy Appreciation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2-6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0826GRS013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设计鉴赏Design Appreciation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2-6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0826GRS014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中国画鉴赏Appreciation of Chinese Painting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2-6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0826GRS015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燕赵非遗鉴赏Appreciation of Yanzhao Intangible Cultural Heritage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2-6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0826GRS016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篆刻艺术鉴赏Seal Cutting Art Appreciation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2-6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0826GRS017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坤舆艺术名家讲堂系列Kunyu Art Master Lecture Series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2-6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0826GRS018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河北民间音乐鉴赏Hebei Folk Music Appreciation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2-6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0826GRS019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身体美学与艺术Body aesthetics and art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2-6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0826GRS020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医学与设计Medicine and Design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2-6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0826GRS021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中外壁画鉴赏Chinese and Foreign Mural Appreciation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2-6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3626G00001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大学生劳动教育（理论）Labor Education for College Students (Theory)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合计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824/2周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638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186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2周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</w:tbl>
    <w:p>
      <w:pPr>
        <w:pStyle w:val="Heading4"/>
        <w:keepNext w:val="0"/>
        <w:keepLines w:val="0"/>
        <w:widowControl/>
        <w:suppressLineNumbers w:val="0"/>
        <w:spacing w:line="360" w:lineRule="auto"/>
        <w:ind w:left="0" w:firstLine="420"/>
      </w:pPr>
      <w:r>
        <w:rPr>
          <w:rFonts w:ascii="黑体" w:eastAsia="黑体" w:hAnsi="宋体" w:cs="黑体" w:hint="eastAsia"/>
          <w:sz w:val="24"/>
          <w:szCs w:val="24"/>
        </w:rPr>
        <w:t>2.通识通选课（最低修读6学分）</w:t>
      </w:r>
    </w:p>
    <w:tbl>
      <w:tblPr>
        <w:tblW w:w="9078" w:type="dxa"/>
        <w:jc w:val="center"/>
        <w:tblBorders>
          <w:top w:val="nil"/>
          <w:left w:val="nil"/>
          <w:bottom w:val="nil"/>
          <w:right w:val="nil"/>
          <w:insideH w:val="outset" w:sz="6" w:space="0" w:color="auto"/>
          <w:insideV w:val="outset" w:sz="6" w:space="0" w:color="auto"/>
        </w:tblBorders>
        <w:shd w:val="clear" w:color="auto" w:fill="auto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81"/>
        <w:gridCol w:w="7097"/>
      </w:tblGrid>
      <w:tr>
        <w:tblPrEx>
          <w:tblW w:w="9078" w:type="dxa"/>
          <w:jc w:val="center"/>
          <w:tblBorders>
            <w:top w:val="nil"/>
            <w:left w:val="nil"/>
            <w:bottom w:val="nil"/>
            <w:right w:val="nil"/>
            <w:insideH w:val="outset" w:sz="6" w:space="0" w:color="auto"/>
            <w:insideV w:val="outset" w:sz="6" w:space="0" w:color="auto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/>
          <w:jc w:val="center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left="0" w:right="0" w:firstLineChars="0"/>
              <w:jc w:val="center"/>
            </w:pPr>
            <w:r>
              <w:rPr>
                <w:rFonts w:ascii="宋体" w:eastAsia="宋体" w:hAnsi="宋体" w:cs="宋体" w:hint="eastAsia"/>
                <w:b/>
                <w:sz w:val="18"/>
                <w:szCs w:val="18"/>
              </w:rPr>
              <w:t>课程设置清单</w:t>
            </w:r>
          </w:p>
        </w:tc>
        <w:tc>
          <w:tcPr>
            <w:tcW w:w="7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1.详见《河北大学通识教育课程（通识通选课）一览表》；</w:t>
            </w:r>
          </w:p>
          <w:p>
            <w:pPr>
              <w:pStyle w:val="NormalWeb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2.详见《河北大学通识教育网络课程（TW课程）一览表》。</w:t>
            </w:r>
          </w:p>
        </w:tc>
      </w:tr>
      <w:tr>
        <w:tblPrEx>
          <w:tblW w:w="9078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/>
          <w:jc w:val="center"/>
        </w:trPr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left="0" w:right="0" w:firstLineChars="0"/>
              <w:jc w:val="center"/>
            </w:pPr>
            <w:r>
              <w:rPr>
                <w:rFonts w:ascii="宋体" w:eastAsia="宋体" w:hAnsi="宋体" w:cs="宋体" w:hint="eastAsia"/>
                <w:b/>
                <w:sz w:val="18"/>
                <w:szCs w:val="18"/>
              </w:rPr>
              <w:t>学校修读建议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1.建议修读《中共党史》《新中国史》《改革开放史》《社会主义发展史》等课程；</w:t>
            </w:r>
          </w:p>
          <w:p>
            <w:pPr>
              <w:pStyle w:val="NormalWeb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2.建议修读《大学生廉洁文化教育》等课程；</w:t>
            </w:r>
          </w:p>
          <w:p>
            <w:pPr>
              <w:pStyle w:val="NormalWeb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3.建议根据兴趣修读通识教育网络课程（TW课程）。</w:t>
            </w:r>
          </w:p>
        </w:tc>
      </w:tr>
      <w:tr>
        <w:tblPrEx>
          <w:tblW w:w="9078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/>
          <w:jc w:val="center"/>
        </w:trPr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left="0" w:right="0" w:firstLineChars="0"/>
              <w:jc w:val="center"/>
            </w:pPr>
            <w:r>
              <w:rPr>
                <w:rFonts w:ascii="宋体" w:eastAsia="宋体" w:hAnsi="宋体" w:cs="宋体" w:hint="eastAsia"/>
                <w:b/>
                <w:sz w:val="18"/>
                <w:szCs w:val="18"/>
              </w:rPr>
              <w:t>专业修读建议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jc w:val="center"/>
            </w:pPr>
            <w:r>
              <w:rPr>
                <w:rFonts w:ascii="宋体" w:eastAsia="宋体" w:hAnsi="宋体" w:cs="宋体" w:hint="eastAsia"/>
                <w:color w:val="FF0000"/>
                <w:sz w:val="18"/>
                <w:szCs w:val="18"/>
              </w:rPr>
              <w:t>要求修读四史类至少 1 门。</w:t>
            </w:r>
          </w:p>
        </w:tc>
      </w:tr>
    </w:tbl>
    <w:p>
      <w:pPr>
        <w:pStyle w:val="Heading3"/>
        <w:keepNext w:val="0"/>
        <w:keepLines w:val="0"/>
        <w:widowControl/>
        <w:suppressLineNumbers w:val="0"/>
        <w:spacing w:line="360" w:lineRule="auto"/>
        <w:ind w:left="0" w:firstLine="420"/>
      </w:pPr>
      <w:r>
        <w:rPr>
          <w:rFonts w:ascii="黑体" w:eastAsia="黑体" w:hAnsi="宋体" w:cs="黑体" w:hint="eastAsia"/>
          <w:sz w:val="24"/>
          <w:szCs w:val="24"/>
        </w:rPr>
        <w:t>（二）专业教育课程（共修读167学分，其中实践实验环节修读74.5学分）</w:t>
      </w:r>
    </w:p>
    <w:p>
      <w:pPr>
        <w:pStyle w:val="Heading4"/>
        <w:keepNext w:val="0"/>
        <w:keepLines w:val="0"/>
        <w:widowControl/>
        <w:suppressLineNumbers w:val="0"/>
        <w:spacing w:line="360" w:lineRule="auto"/>
        <w:ind w:left="0" w:firstLine="420"/>
      </w:pPr>
      <w:r>
        <w:rPr>
          <w:rFonts w:ascii="黑体" w:eastAsia="黑体" w:hAnsi="宋体" w:cs="黑体" w:hint="eastAsia"/>
          <w:sz w:val="24"/>
          <w:szCs w:val="24"/>
        </w:rPr>
        <w:t>1.平台基础课（共修读5学分，其中实践实验环节修读1学分）</w:t>
      </w:r>
    </w:p>
    <w:tbl>
      <w:tblPr>
        <w:tblW w:w="5000" w:type="pct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outset" w:sz="6" w:space="0" w:color="auto"/>
          <w:insideV w:val="outset" w:sz="6" w:space="0" w:color="auto"/>
        </w:tblBorders>
        <w:shd w:val="clear" w:color="auto" w:fill="auto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916"/>
        <w:gridCol w:w="2546"/>
        <w:gridCol w:w="713"/>
        <w:gridCol w:w="713"/>
        <w:gridCol w:w="713"/>
        <w:gridCol w:w="713"/>
        <w:gridCol w:w="714"/>
        <w:gridCol w:w="714"/>
        <w:gridCol w:w="714"/>
      </w:tblGrid>
      <w:tr>
        <w:tblPrEx>
          <w:tblW w:w="5000" w:type="pct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outset" w:sz="6" w:space="0" w:color="auto"/>
            <w:insideV w:val="outset" w:sz="6" w:space="0" w:color="auto"/>
          </w:tblBorders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Header/>
        </w:trPr>
        <w:tc>
          <w:tcPr>
            <w:tcW w:w="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课程编号</w:t>
            </w:r>
          </w:p>
        </w:tc>
        <w:tc>
          <w:tcPr>
            <w:tcW w:w="1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课程名称Courses Name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考核类型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学分</w:t>
            </w:r>
          </w:p>
        </w:tc>
        <w:tc>
          <w:tcPr>
            <w:tcW w:w="14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学时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开课学期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Header/>
        </w:trPr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12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小计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理论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实验/实践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实践</w:t>
            </w: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9126P00001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大学数学ACollege Mathematics A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3426P00006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Python与人工智能程序设计PythonandAIProgramming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合计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102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</w:tbl>
    <w:p>
      <w:pPr>
        <w:pStyle w:val="Heading4"/>
        <w:keepNext w:val="0"/>
        <w:keepLines w:val="0"/>
        <w:widowControl/>
        <w:suppressLineNumbers w:val="0"/>
        <w:spacing w:line="360" w:lineRule="auto"/>
        <w:ind w:left="0" w:firstLine="420"/>
      </w:pPr>
      <w:r>
        <w:rPr>
          <w:rFonts w:ascii="黑体" w:eastAsia="黑体" w:hAnsi="宋体" w:cs="黑体" w:hint="eastAsia"/>
          <w:sz w:val="24"/>
          <w:szCs w:val="24"/>
        </w:rPr>
        <w:t>2.专业基础课（共修读62.5学分，其中实践实验环节修读14学分）</w:t>
      </w:r>
    </w:p>
    <w:tbl>
      <w:tblPr>
        <w:tblW w:w="5000" w:type="pct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outset" w:sz="6" w:space="0" w:color="auto"/>
          <w:insideV w:val="outset" w:sz="6" w:space="0" w:color="auto"/>
        </w:tblBorders>
        <w:shd w:val="clear" w:color="auto" w:fill="auto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916"/>
        <w:gridCol w:w="2546"/>
        <w:gridCol w:w="713"/>
        <w:gridCol w:w="713"/>
        <w:gridCol w:w="713"/>
        <w:gridCol w:w="713"/>
        <w:gridCol w:w="714"/>
        <w:gridCol w:w="714"/>
        <w:gridCol w:w="714"/>
      </w:tblGrid>
      <w:tr>
        <w:tblPrEx>
          <w:tblW w:w="5000" w:type="pct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outset" w:sz="6" w:space="0" w:color="auto"/>
            <w:insideV w:val="outset" w:sz="6" w:space="0" w:color="auto"/>
          </w:tblBorders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Header/>
        </w:trPr>
        <w:tc>
          <w:tcPr>
            <w:tcW w:w="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课程编号</w:t>
            </w:r>
          </w:p>
        </w:tc>
        <w:tc>
          <w:tcPr>
            <w:tcW w:w="1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课程名称Courses Name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考核类型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学分</w:t>
            </w:r>
          </w:p>
        </w:tc>
        <w:tc>
          <w:tcPr>
            <w:tcW w:w="14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学时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开课学期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Header/>
        </w:trPr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12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小计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理论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实验/实践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实践</w:t>
            </w: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2426P02001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医学物理学Medical Physics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2426P02002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基础化学Basic Chemistry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2426P02003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细胞生物学Cell Biology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2426P02004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有机化学Organic Chemistry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2426P02005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系统解剖学Systematic Anatomy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102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2426P02006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组织胚胎学Histology and Embryology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76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2426P02007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医学导论Introduction to Medicine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2426P02008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生物化学与分子生物学Biochemistry and Molecular Biology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102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2426P02009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生理学Physiology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2426P02010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基础医学机能实验 1Basic Medical Functional Experiment 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2426P02011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医学伦理学Medical Ethics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2426P02012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医学遗传学Medical Genetics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2426P02013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医学微生物学Medical Microbiology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2426P02014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病理学Pathology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85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2426P02015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医学免疫学Medical Immunology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2426P02016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人体寄生虫学Human Parasitology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2426P02017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局部解剖学Regional Anatomy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2426P02018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药理学Pharmacology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2426P02019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病理生理学Pathophysiology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2426P02020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基础医学机能实验 2Basic Medical Functional Experiment 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2426P02021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医学心理学Medical Psychology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2426P02022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医学统计学Medical Statistics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2426P02023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流行病学Epidemiology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2426P02024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社会医学Social Medicine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2426P02025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卫生法学Health Law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2426P02026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卫生学Hygiene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7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合计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62.5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1302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826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476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</w:tbl>
    <w:p>
      <w:pPr>
        <w:pStyle w:val="Heading4"/>
        <w:keepNext w:val="0"/>
        <w:keepLines w:val="0"/>
        <w:widowControl/>
        <w:suppressLineNumbers w:val="0"/>
        <w:spacing w:line="360" w:lineRule="auto"/>
        <w:ind w:left="0" w:firstLine="420"/>
      </w:pPr>
      <w:r>
        <w:rPr>
          <w:rFonts w:ascii="黑体" w:eastAsia="黑体" w:hAnsi="宋体" w:cs="黑体" w:hint="eastAsia"/>
          <w:sz w:val="24"/>
          <w:szCs w:val="24"/>
        </w:rPr>
        <w:t>3.专业核心课（共修读99.5学分，其中实践实验环节修读59.5学分）</w:t>
      </w:r>
    </w:p>
    <w:tbl>
      <w:tblPr>
        <w:tblW w:w="5000" w:type="pct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outset" w:sz="6" w:space="0" w:color="auto"/>
          <w:insideV w:val="outset" w:sz="6" w:space="0" w:color="auto"/>
        </w:tblBorders>
        <w:shd w:val="clear" w:color="auto" w:fill="auto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916"/>
        <w:gridCol w:w="2546"/>
        <w:gridCol w:w="713"/>
        <w:gridCol w:w="713"/>
        <w:gridCol w:w="713"/>
        <w:gridCol w:w="713"/>
        <w:gridCol w:w="714"/>
        <w:gridCol w:w="714"/>
        <w:gridCol w:w="714"/>
      </w:tblGrid>
      <w:tr>
        <w:tblPrEx>
          <w:tblW w:w="5000" w:type="pct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outset" w:sz="6" w:space="0" w:color="auto"/>
            <w:insideV w:val="outset" w:sz="6" w:space="0" w:color="auto"/>
          </w:tblBorders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Header/>
        </w:trPr>
        <w:tc>
          <w:tcPr>
            <w:tcW w:w="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课程编号</w:t>
            </w:r>
          </w:p>
        </w:tc>
        <w:tc>
          <w:tcPr>
            <w:tcW w:w="1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课程名称Courses Name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考核类型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学分</w:t>
            </w:r>
          </w:p>
        </w:tc>
        <w:tc>
          <w:tcPr>
            <w:tcW w:w="14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学时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开课学期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Header/>
        </w:trPr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12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小计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理论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实验/实践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实践</w:t>
            </w: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2426P02027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临床技能训练 1Clinical Skill Training 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2426P02028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临床技能训练 2Clinical Skill Training 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2426P02029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临床技能训练 3Clinical Skill Training 3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2426P02030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中医学Chinese Medicine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2426P02031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循证医学Evidence-based Medicine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2426P02032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物理诊断学Physical Diagnostics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2426P02033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实验诊断学Laboratory Diagnostics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2426P02034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医学影像学Medical Imaging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43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2426P02035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外科学总论General Introduction to Surgery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2426P02036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核医学Nuclear Medicine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2426P02037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麻醉学Anesthesiology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7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2426P02038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内科学 1Internal Medicine 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102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7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2426P02039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外科学 1Surgery 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95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7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2426P02040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儿科学Pediatrics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85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7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2426P02041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眼科学Ophthalmology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7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2426P02042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皮肤与性病学Dermatovenerology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7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2426P02053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精神病学Psychiatry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7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2426P02044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耳鼻喉头颈外科学Otolaryngology, Head and Neck Surgery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7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2426P02045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口腔科学Stomatology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7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2426P02046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内科学 2Internal Medicine 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96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8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2426P02047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传染病学Infectious Diseases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8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2426P02048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神经病学Neurology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43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8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2426P02049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外科学 2Surgery 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96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8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2426P02050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妇产科学Obstetrics and Gynecology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85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8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2426P02051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全科医学概论Introduction to General Practice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8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2426P02052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毕业实习Graduation Practice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48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48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9,10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合计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99.5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1161/48周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686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475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48周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</w:tbl>
    <w:p>
      <w:pPr>
        <w:pStyle w:val="Heading3"/>
        <w:keepNext w:val="0"/>
        <w:keepLines w:val="0"/>
        <w:widowControl/>
        <w:suppressLineNumbers w:val="0"/>
        <w:spacing w:line="360" w:lineRule="auto"/>
        <w:ind w:left="0" w:firstLine="420"/>
      </w:pPr>
      <w:r>
        <w:rPr>
          <w:rFonts w:ascii="黑体" w:eastAsia="黑体" w:hAnsi="宋体" w:cs="黑体" w:hint="eastAsia"/>
          <w:sz w:val="24"/>
          <w:szCs w:val="24"/>
        </w:rPr>
        <w:t>（三）个性化教育课程（最低修读16学分，其中实践实验环节最低修读6学分）</w:t>
      </w:r>
    </w:p>
    <w:p>
      <w:pPr>
        <w:pStyle w:val="Heading4"/>
        <w:keepNext w:val="0"/>
        <w:keepLines w:val="0"/>
        <w:widowControl/>
        <w:suppressLineNumbers w:val="0"/>
        <w:ind w:left="0" w:firstLine="420"/>
      </w:pPr>
      <w:r>
        <w:rPr>
          <w:rFonts w:ascii="黑体" w:eastAsia="黑体" w:hAnsi="宋体" w:cs="黑体" w:hint="eastAsia"/>
          <w:sz w:val="24"/>
          <w:szCs w:val="24"/>
        </w:rPr>
        <w:t>1.专业进阶课（最低修读12学分，其中实践实验环节最低修读2学分）</w:t>
      </w:r>
    </w:p>
    <w:tbl>
      <w:tblPr>
        <w:tblW w:w="5000" w:type="pct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outset" w:sz="6" w:space="0" w:color="auto"/>
          <w:insideV w:val="outset" w:sz="6" w:space="0" w:color="auto"/>
        </w:tblBorders>
        <w:shd w:val="clear" w:color="auto" w:fill="auto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28"/>
        <w:gridCol w:w="828"/>
        <w:gridCol w:w="2299"/>
        <w:gridCol w:w="643"/>
        <w:gridCol w:w="643"/>
        <w:gridCol w:w="643"/>
        <w:gridCol w:w="643"/>
        <w:gridCol w:w="643"/>
        <w:gridCol w:w="643"/>
        <w:gridCol w:w="643"/>
      </w:tblGrid>
      <w:tr>
        <w:tblPrEx>
          <w:tblW w:w="5000" w:type="pct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outset" w:sz="6" w:space="0" w:color="auto"/>
            <w:insideV w:val="outset" w:sz="6" w:space="0" w:color="auto"/>
          </w:tblBorders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Header/>
        </w:trPr>
        <w:tc>
          <w:tcPr>
            <w:tcW w:w="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方向</w:t>
            </w:r>
          </w:p>
        </w:tc>
        <w:tc>
          <w:tcPr>
            <w:tcW w:w="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课程编号</w:t>
            </w:r>
          </w:p>
        </w:tc>
        <w:tc>
          <w:tcPr>
            <w:tcW w:w="1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课程名称Courses Name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考核类型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学分</w:t>
            </w:r>
          </w:p>
        </w:tc>
        <w:tc>
          <w:tcPr>
            <w:tcW w:w="14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学时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开课学期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Header/>
        </w:trPr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12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小计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理论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实验/实践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实践</w:t>
            </w: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专业拓展方向 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2426I02001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文学作品欣赏Literary Works Appreciation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2426I02002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医学美学Medical Aesthetics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2426I02051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“医学+X”前沿论坛Frontier Forum in "Medicine +X"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2426I02003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大学生科研创新思路与方法College Students Innovative Ideas and Methods of Scientific Research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2426I02004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生殖生物学Reproductive Biology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2426I02005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发育生物学Developmental Biology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2426I02006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生殖与健康Reproductive health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2426I02007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医学文献检索★Medical Literature Retrieval★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2426I02008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基因与疾病Genes and Diseases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2426I02009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神经科学原理Principles of Neuroscience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2426I02010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细胞工程Cell Engineering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2426I02011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分子生物学研究方法与技术Research Methods and Techniques in Molecular Biology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2426I02012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分子生物学技术大实验Large Experiment in Molecular Biology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2426I02013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纳米技术与精准医疗Nanotechnology and Precision Medicine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2426I02014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安宁疗护Hospice Care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2426I02015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医院感染控制Hospital Infection Control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2426I02016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法医学Forensic Medicine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2426I02017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肿瘤病理学Tumor Pathology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2426I02018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医学论文写作Writing for Medical Scientific Presentation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2426I02019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临床病理学Diagnostic Pathology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2426I02020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临床免疫学Clinical Immunology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2426I02021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老年健康服务与管理Elderly Health Service and Management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2426I02050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智慧医学★Intelligent Medicine★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2426I02022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分子遗传学Molecular Genetics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2426I02023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细胞凋亡分子机制与疾病Molecular Mechanism of Apoptosis and Disease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2426I02024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卫生事业管理学Health Care Management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2426I02025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统计分析软件应用★Statistical Analysis Software Applications★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2426I02026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少儿卫生学Child Hygiene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2426I02027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基础医学整合实验Integrated experiment of Basic Medicine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2426I02052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课程设计Curriculum Design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2426I02028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临床病理生理学Clinical Pathophysiology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2426I02029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临床药理学Clinical Pharmacology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2426I02030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儿童保健学Pediatric Health Care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2426I02031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临床营养学Clinical Nutrition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2426I02032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医学文献阅读（英文）Medical Literature Reading (English)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7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2426I02033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健康教育学Health Pedagogy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7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2426I02034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疼痛诊疗学Pain Medicine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7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2426I02035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康复医学Rehabilitation Medicine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7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2426I02036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现代肿瘤学Modern Oncology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7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2426I02037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危重病医学Critical Care Medicine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9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2426I02038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急诊与灾难医学Emergency and Disaster Medicine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9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2426I02039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老年医学Geriatric Medicine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9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方向小计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46.5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853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696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157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1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合计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46.5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853/2周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696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157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</w:tbl>
    <w:p>
      <w:pPr>
        <w:pStyle w:val="Heading4"/>
        <w:keepNext w:val="0"/>
        <w:keepLines w:val="0"/>
        <w:widowControl/>
        <w:suppressLineNumbers w:val="0"/>
        <w:spacing w:line="360" w:lineRule="auto"/>
        <w:ind w:left="0" w:firstLine="420"/>
      </w:pPr>
      <w:r>
        <w:rPr>
          <w:rFonts w:ascii="黑体" w:eastAsia="黑体" w:hAnsi="宋体" w:cs="黑体" w:hint="eastAsia"/>
          <w:sz w:val="24"/>
          <w:szCs w:val="24"/>
        </w:rPr>
        <w:t>2.专业交叉课（最低修读4学分，其中实践实验环节最低修读4学分）</w:t>
      </w:r>
    </w:p>
    <w:tbl>
      <w:tblPr>
        <w:tblW w:w="5000" w:type="pct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outset" w:sz="6" w:space="0" w:color="auto"/>
          <w:insideV w:val="outset" w:sz="6" w:space="0" w:color="auto"/>
        </w:tblBorders>
        <w:shd w:val="clear" w:color="auto" w:fill="auto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916"/>
        <w:gridCol w:w="2546"/>
        <w:gridCol w:w="713"/>
        <w:gridCol w:w="713"/>
        <w:gridCol w:w="713"/>
        <w:gridCol w:w="713"/>
        <w:gridCol w:w="714"/>
        <w:gridCol w:w="714"/>
        <w:gridCol w:w="714"/>
      </w:tblGrid>
      <w:tr>
        <w:tblPrEx>
          <w:tblW w:w="5000" w:type="pct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outset" w:sz="6" w:space="0" w:color="auto"/>
            <w:insideV w:val="outset" w:sz="6" w:space="0" w:color="auto"/>
          </w:tblBorders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Header/>
        </w:trPr>
        <w:tc>
          <w:tcPr>
            <w:tcW w:w="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课程编号</w:t>
            </w:r>
          </w:p>
        </w:tc>
        <w:tc>
          <w:tcPr>
            <w:tcW w:w="1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课程名称Courses Name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考核类型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学分</w:t>
            </w:r>
          </w:p>
        </w:tc>
        <w:tc>
          <w:tcPr>
            <w:tcW w:w="14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学时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开课学期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Header/>
        </w:trPr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12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小计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理论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实验/实践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实践</w:t>
            </w: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2426I02040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PBL 课程 1★PBL Course 1★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2426I02041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PBL 课程 2★PBL Course 2★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2426I02042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PBL 课程 3★PBL Course 3★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2426I02043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PBL 课程 4★PBL Course 4★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2426I02044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PBL 课程 5★PBL Course 5★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2426I02045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PBL 课程 6★PBL Course 6★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7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2426I02046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早期临床实践 1★Early-stage Clinical Practice 1★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2426I02047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早期临床实践 2★Early-stage Clinical Practice 2★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2426I02048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早期临床实践 3★Early-stage Clinical Practice 3★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2426I02049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早期临床实践 4★Early-stage Clinical Practice 4★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2426I02053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医学机器学习★Medical machine learning★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2426I02054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虚拟现实与数据可视化★Virtual Reality and Data Visualization★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4 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合计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102/20周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22周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</w:tbl>
    <w:p>
      <w:pPr>
        <w:pStyle w:val="Heading4"/>
        <w:keepNext w:val="0"/>
        <w:keepLines w:val="0"/>
        <w:widowControl/>
        <w:suppressLineNumbers w:val="0"/>
        <w:spacing w:line="360" w:lineRule="auto"/>
        <w:ind w:left="0" w:firstLine="420"/>
      </w:pPr>
      <w:r>
        <w:rPr>
          <w:rFonts w:ascii="黑体" w:eastAsia="黑体" w:hAnsi="宋体" w:cs="黑体" w:hint="eastAsia"/>
          <w:sz w:val="24"/>
          <w:szCs w:val="24"/>
        </w:rPr>
        <w:t>3.专业自主课（最低修读**学分，其中实践实验环节最低修读*学分）</w:t>
      </w:r>
    </w:p>
    <w:tbl>
      <w:tblPr>
        <w:tblW w:w="5000" w:type="pct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outset" w:sz="6" w:space="0" w:color="auto"/>
          <w:insideV w:val="outset" w:sz="6" w:space="0" w:color="auto"/>
        </w:tblBorders>
        <w:shd w:val="clear" w:color="auto" w:fill="auto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916"/>
        <w:gridCol w:w="2546"/>
        <w:gridCol w:w="713"/>
        <w:gridCol w:w="713"/>
        <w:gridCol w:w="713"/>
        <w:gridCol w:w="713"/>
        <w:gridCol w:w="714"/>
        <w:gridCol w:w="714"/>
        <w:gridCol w:w="714"/>
      </w:tblGrid>
      <w:tr>
        <w:tblPrEx>
          <w:tblW w:w="5000" w:type="pct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outset" w:sz="6" w:space="0" w:color="auto"/>
            <w:insideV w:val="outset" w:sz="6" w:space="0" w:color="auto"/>
          </w:tblBorders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Header/>
        </w:trPr>
        <w:tc>
          <w:tcPr>
            <w:tcW w:w="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课程编号</w:t>
            </w:r>
          </w:p>
        </w:tc>
        <w:tc>
          <w:tcPr>
            <w:tcW w:w="1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课程名称Courses Name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考核类型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学分</w:t>
            </w:r>
          </w:p>
        </w:tc>
        <w:tc>
          <w:tcPr>
            <w:tcW w:w="14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学时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开课学期</w:t>
            </w: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Header/>
        </w:trPr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12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小计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理论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实验/实践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>实践</w:t>
            </w: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合计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</w:tbl>
    <w:p>
      <w:pPr>
        <w:rPr>
          <w:rFonts w:ascii="Calibri" w:eastAsia="宋体" w:hAnsi="Calibri" w:cs="Times New Roman" w:hint="eastAsia"/>
          <w:kern w:val="2"/>
          <w:sz w:val="21"/>
          <w:szCs w:val="21"/>
        </w:rPr>
        <w:sectPr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</w:p>
    <w:p>
      <w:pPr>
        <w:pStyle w:val="Heading2"/>
        <w:keepNext w:val="0"/>
        <w:keepLines w:val="0"/>
        <w:widowControl/>
        <w:suppressLineNumbers w:val="0"/>
        <w:spacing w:line="500" w:lineRule="atLeast"/>
        <w:ind w:left="0" w:firstLine="420"/>
      </w:pPr>
      <w:r>
        <w:rPr>
          <w:rFonts w:ascii="黑体" w:eastAsia="黑体" w:hAnsi="宋体" w:cs="黑体" w:hint="eastAsia"/>
          <w:sz w:val="24"/>
          <w:szCs w:val="24"/>
        </w:rPr>
        <w:t>十一、课程体系支撑毕业要求实现关系矩阵图</w:t>
      </w:r>
    </w:p>
    <w:tbl>
      <w:tblPr>
        <w:tblW w:w="5000" w:type="pct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outset" w:sz="6" w:space="0" w:color="auto"/>
          <w:insideV w:val="outset" w:sz="6" w:space="0" w:color="auto"/>
        </w:tblBorders>
        <w:shd w:val="clear" w:color="auto" w:fill="auto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</w:tblGrid>
      <w:tr>
        <w:tblPrEx>
          <w:tblW w:w="5000" w:type="pct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outset" w:sz="6" w:space="0" w:color="auto"/>
            <w:insideV w:val="outset" w:sz="6" w:space="0" w:color="auto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课程类别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课程代码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课程名称 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毕业要求1 </w:t>
            </w:r>
          </w:p>
        </w:tc>
        <w:tc>
          <w:tcPr>
            <w:tcW w:w="0" w:type="auto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毕业要求2 </w:t>
            </w:r>
          </w:p>
        </w:tc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毕业要求3 </w:t>
            </w:r>
          </w:p>
        </w:tc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毕业要求4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1.1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1.2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1.3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1.4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1.5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1.6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2.1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2.2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2.3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2.4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2.5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2.6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2.7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2.8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2.9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2.10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2.11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2.12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2.13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2.14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3.1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3.2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3.3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3.4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3.5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3.6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3.7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4.1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4.2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4.3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4.4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4.5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4.6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sz w:val="18"/>
                <w:szCs w:val="18"/>
              </w:rPr>
              <w:t xml:space="preserve">4.7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通识通修课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3126G00002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大学生思想文化素养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3126G00003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中国共产党历史与理论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3126G00004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马克思主义基本原理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3126G00001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习近平新时代中国特色社会主义思想概论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3126G00005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新时代实践教育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3126G00008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国家安全教育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3126G00009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中华民族共同体概论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3226G00001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大学英语1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3226G00002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大学英语2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3226G00003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大学英语3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3226G00008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医学英语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3426G00004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大学计算机与人工智能D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3326G00001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大学体育1：排球基础、校操与游泳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3326G00002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大学体育2：基础素质、校拳与游泳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3326G00003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大学体育3：体育专项初级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3326G00004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大学体育4：体育专项高级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9226G00001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人文经典与通用写作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3726G00001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军事理论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3726G00002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军事技能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3726G00003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大学生心理健康教育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6426G00001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大学生职业生涯规划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6426G00002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创新创业思维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艺术导论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0826GRS002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美学概论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0826GRS003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中西方美术史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0826GRS004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中西方音乐史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0826GRS005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文艺理论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0826GRS006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音乐鉴赏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0826GRS007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美术鉴赏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0826GRS008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影视鉴赏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0826GRS009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舞蹈鉴赏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戏剧鉴赏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戏曲鉴赏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书法鉴赏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设计鉴赏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0826GRS014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中国画鉴赏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燕赵非遗鉴赏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篆刻艺术鉴赏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0826GRS017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坤舆艺术名家讲堂系列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0826GRS018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河北民间音乐鉴赏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0826GRS019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身体美学与艺术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医学与设计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0826GRS021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中外壁画鉴赏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3626G00001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大学生劳动教育（理论）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平台基础课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9126P00001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大学数学A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3426P00006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Python与人工智能程序设计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专业基础课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医学物理学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2426P02002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基础化学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2426P02003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细胞生物学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2426P02004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有机化学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2426P02005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系统解剖学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2426P02006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组织胚胎学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2426P02007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医学导论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2426P02008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生物化学与分子生物学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2426P02009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生理学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基础医学机能实验 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医学伦理学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医学遗传学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医学微生物学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2426P02014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病理学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医学免疫学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人体寄生虫学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2426P02017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局部解剖学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2426P02018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药理学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2426P02019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病理生理学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基础医学机能实验 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2426P02021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医学心理学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2426P02022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医学统计学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2426P02023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流行病学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2426P02024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社会医学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2426P02025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卫生法学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2426P02026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卫生学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专业核心课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2426P02027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临床技能训练 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2426P02028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临床技能训练 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2426P02029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临床技能训练 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中医学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2426P02031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循证医学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2426P02032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物理诊断学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2426P02033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实验诊断学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2426P02034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医学影像学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2426P02035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外科学总论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2426P02036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核医学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2426P02037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麻醉学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2426P02038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内科学 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2426P02039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外科学 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儿科学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2426P02041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眼科学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2426P02042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皮肤与性病学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2426P02053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精神病学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2426P02044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耳鼻喉头颈外科学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2426P02045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口腔科学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2426P02046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内科学 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2426P02047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传染病学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2426P02048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神经病学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2426P02049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外科学 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妇产科学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2426P02052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毕业实习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2426P02051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全科医学概论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H </w:t>
            </w: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专业进阶课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文学作品欣赏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2426I02002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医学美学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2426I02051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“医学+X”前沿论坛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2426I02003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大学生科研创新思路与方法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2426I02004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生殖生物学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2426I02005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发育生物学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2426I02006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生殖与健康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2426I02007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医学文献检索★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2426I02008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基因与疾病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2426I02009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神经科学原理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细胞工程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分子生物学研究方法与技术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分子生物学技术大实验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纳米技术与精准医疗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2426I02014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安宁疗护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医院感染控制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法医学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2426I02017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肿瘤病理学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2426I02018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医学论文写作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2426I02019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临床病理学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临床免疫学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2426I02021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老年健康服务与管理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智慧医学★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2426I02022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分子遗传学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2426I02023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细胞凋亡分子机制与疾病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2426I02024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卫生事业管理学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2426I02025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统计分析软件应用★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2426I02026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少儿卫生学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2426I02027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基础医学整合实验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2426I02028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临床病理生理学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2426I02029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临床药理学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儿童保健学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2426I02031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临床营养学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2426I02032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医学文献阅读（英文）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2426I02033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健康教育学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2426I02034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疼痛诊疗学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2426I02035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康复医学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2426I02036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现代肿瘤学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2426I02037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危重病医学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2426I02038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急诊与灾难医学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2426I02039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老年医学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2426I02052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课程设计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专业交叉课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PBL 课程 1★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2426I02041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PBL 课程 2★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2426I02042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PBL 课程 3★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2426I02043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PBL 课程 4★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2426I02044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PBL 课程 5★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2426I02045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PBL 课程 6★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2426I02046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早期临床实践 1★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2426I02047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早期临床实践 2★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2426I02048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早期临床实践 3★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2426I02049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早期临床实践 4★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2426I02053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医学机器学习★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  <w:tr>
        <w:tblPrEx>
          <w:tblW w:w="5000" w:type="pct"/>
          <w:tblInd w:w="0" w:type="dxa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2426I02054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虚拟现实与数据可视化★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int="eastAsia"/>
                <w:sz w:val="18"/>
                <w:szCs w:val="18"/>
              </w:rPr>
            </w:pPr>
          </w:p>
        </w:tc>
      </w:tr>
    </w:tbl>
    <w:p>
      <w:pPr>
        <w:pStyle w:val="customp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 </w:t>
      </w:r>
    </w:p>
    <w:p>
      <w:pPr>
        <w:pStyle w:val="Heading2"/>
        <w:keepNext w:val="0"/>
        <w:keepLines w:val="0"/>
        <w:widowControl/>
        <w:suppressLineNumbers w:val="0"/>
        <w:ind w:left="0" w:firstLine="420"/>
      </w:pPr>
      <w:r>
        <w:rPr>
          <w:rFonts w:ascii="黑体" w:eastAsia="黑体" w:hAnsi="宋体" w:cs="黑体" w:hint="eastAsia"/>
          <w:sz w:val="24"/>
          <w:szCs w:val="24"/>
        </w:rPr>
        <w:t>十二、课程地图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sz w:val="24"/>
          <w:szCs w:val="24"/>
        </w:rPr>
        <w:t/>
        <w:drawing>
          <wp:inline distT="0" distR="0" distB="0" distL="0">
            <wp:extent cx="8867775" cy="5419725"/>
            <wp:docPr id="0" name="Drawing 0" descr="照片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照片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67775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1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noPunctuationKerning/>
  <w:characterSpacingControl w:val="compressPunctuation"/>
  <w:compat>
    <w:useFELayout/>
    <w:doNotUseIndentAsNumberingTabStop/>
    <w:useAltKinsokuLineBreakRules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adjustLineHeightInTable w:val="1"/>
  </w:compat>
  <w:rsids>
    <w:rsidRoot w:val="00000000"/>
    <w:rsid w:val="194027A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semiHidden="0" w:uiPriority="0" w:unhideWhenUsed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semiHidden="0" w:uiPriority="0" w:unhideWhenUsed="0"/>
    <w:lsdException w:name="Table Grid"/>
    <w:lsdException w:name="Table Theme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Normal">
    <w:name w:val="Normal"/>
    <w:uiPriority w:val="99"/>
    <w:semiHidden/>
    <w:unhideWhenUsed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ascii="Calibri" w:eastAsia="宋体" w:hAnsi="Calibri" w:cs="Times New Roman" w:hint="default"/>
      <w:kern w:val="2"/>
      <w:sz w:val="21"/>
      <w:szCs w:val="21"/>
      <w:lang w:val="en-US" w:eastAsia="zh-CN" w:bidi="ar"/>
    </w:rPr>
  </w:style>
  <w:style w:type="paragraph" w:styleId="Heading1">
    <w:name w:val="heading 1"/>
    <w:basedOn w:val="Normal"/>
    <w:next w:val="Normal"/>
    <w:qFormat/>
    <w:pPr>
      <w:widowControl/>
      <w:spacing w:before="0" w:beforeAutospacing="1" w:after="0" w:afterAutospacing="1"/>
      <w:jc w:val="left"/>
      <w:outlineLvl w:val="0"/>
    </w:pPr>
    <w:rPr>
      <w:rFonts w:ascii="宋体" w:eastAsia="宋体" w:hAnsi="宋体" w:cs="宋体" w:hint="eastAsia"/>
      <w:kern w:val="44"/>
      <w:sz w:val="48"/>
      <w:szCs w:val="48"/>
      <w:lang w:val="en-US" w:eastAsia="zh-CN" w:bidi="ar"/>
    </w:rPr>
  </w:style>
  <w:style w:type="paragraph" w:styleId="Heading2">
    <w:name w:val="heading 2"/>
    <w:basedOn w:val="Normal"/>
    <w:next w:val="Normal"/>
    <w:qFormat/>
    <w:pPr>
      <w:widowControl/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qFormat/>
    <w:pPr>
      <w:widowControl/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kern w:val="0"/>
      <w:sz w:val="27"/>
      <w:szCs w:val="27"/>
      <w:lang w:val="en-US" w:eastAsia="zh-CN" w:bidi="ar"/>
    </w:rPr>
  </w:style>
  <w:style w:type="paragraph" w:styleId="Heading4">
    <w:name w:val="heading 4"/>
    <w:basedOn w:val="Normal"/>
    <w:next w:val="Normal"/>
    <w:qFormat/>
    <w:pPr>
      <w:widowControl/>
      <w:spacing w:before="0" w:beforeAutospacing="1" w:after="0" w:afterAutospacing="1"/>
      <w:jc w:val="left"/>
      <w:outlineLvl w:val="3"/>
    </w:pPr>
    <w:rPr>
      <w:rFonts w:ascii="宋体" w:eastAsia="宋体" w:hAnsi="宋体" w:cs="宋体" w:hint="eastAsia"/>
      <w:b/>
      <w:kern w:val="0"/>
      <w:sz w:val="24"/>
      <w:szCs w:val="24"/>
      <w:lang w:val="en-US" w:eastAsia="zh-CN" w:bidi="ar"/>
    </w:rPr>
  </w:style>
  <w:style w:type="paragraph" w:styleId="Heading5">
    <w:name w:val="heading 5"/>
    <w:basedOn w:val="Normal"/>
    <w:next w:val="Normal"/>
    <w:qFormat/>
    <w:pPr>
      <w:widowControl/>
      <w:spacing w:before="0" w:beforeAutospacing="1" w:after="0" w:afterAutospacing="1"/>
      <w:jc w:val="left"/>
      <w:outlineLvl w:val="4"/>
    </w:pPr>
    <w:rPr>
      <w:rFonts w:ascii="宋体" w:eastAsia="宋体" w:hAnsi="宋体" w:cs="宋体" w:hint="eastAsia"/>
      <w:b/>
      <w:kern w:val="0"/>
      <w:sz w:val="20"/>
      <w:szCs w:val="20"/>
      <w:lang w:val="en-US" w:eastAsia="zh-CN" w:bidi="ar"/>
    </w:rPr>
  </w:style>
  <w:style w:type="paragraph" w:styleId="Heading6">
    <w:name w:val="heading 6"/>
    <w:basedOn w:val="Normal"/>
    <w:next w:val="Normal"/>
    <w:qFormat/>
    <w:pPr>
      <w:widowControl/>
      <w:spacing w:before="0" w:beforeAutospacing="1" w:after="0" w:afterAutospacing="1"/>
      <w:jc w:val="left"/>
      <w:outlineLvl w:val="5"/>
    </w:pPr>
    <w:rPr>
      <w:rFonts w:ascii="宋体" w:eastAsia="宋体" w:hAnsi="宋体" w:cs="宋体" w:hint="eastAsia"/>
      <w:b/>
      <w:kern w:val="0"/>
      <w:sz w:val="15"/>
      <w:szCs w:val="15"/>
      <w:lang w:val="en-US" w:eastAsia="zh-CN" w:bidi="ar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 w:hint="eastAsia"/>
      <w:kern w:val="0"/>
      <w:sz w:val="24"/>
      <w:szCs w:val="24"/>
      <w:lang w:val="en-US" w:eastAsia="zh-CN" w:bidi="ar"/>
    </w:rPr>
  </w:style>
  <w:style w:type="paragraph" w:styleId="NormalWeb">
    <w:name w:val="Normal (Web)"/>
    <w:basedOn w:val="Normal"/>
    <w:pPr>
      <w:widowControl/>
      <w:spacing w:before="0" w:beforeAutospacing="1" w:after="0" w:afterAutospacing="1"/>
      <w:ind w:left="0" w:right="0"/>
      <w:jc w:val="left"/>
    </w:pPr>
    <w:rPr>
      <w:rFonts w:ascii="宋体" w:eastAsia="宋体" w:hAnsi="宋体" w:cs="宋体"/>
      <w:kern w:val="0"/>
      <w:sz w:val="24"/>
      <w:szCs w:val="24"/>
      <w:lang w:val="en-US" w:eastAsia="zh-CN" w:bidi="ar"/>
    </w:rPr>
  </w:style>
  <w:style w:type="character" w:customStyle="1" w:styleId="10">
    <w:name w:val="10"/>
    <w:basedOn w:val="DefaultParagraphFont"/>
    <w:rPr>
      <w:rFonts w:ascii="Calibri" w:hAnsi="Calibri" w:cs="Calibri" w:hint="default"/>
    </w:rPr>
  </w:style>
  <w:style w:type="paragraph" w:customStyle="1" w:styleId="customp">
    <w:name w:val="custom_p"/>
    <w:basedOn w:val="Normal"/>
    <w:pPr>
      <w:widowControl/>
      <w:spacing w:line="360" w:lineRule="auto"/>
      <w:jc w:val="left"/>
    </w:pPr>
    <w:rPr>
      <w:rFonts w:ascii="宋体" w:eastAsia="宋体" w:hAnsi="宋体" w:cs="宋体" w:hint="eastAsia"/>
      <w:kern w:val="0"/>
      <w:sz w:val="21"/>
      <w:szCs w:val="21"/>
      <w:lang w:val="en-US" w:eastAsia="zh-CN" w:bidi="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webSettings.xml" Type="http://schemas.openxmlformats.org/officeDocument/2006/relationships/webSettings"/><Relationship Id="rId3" Target="fontTable.xml" Type="http://schemas.openxmlformats.org/officeDocument/2006/relationships/fontTable"/><Relationship Id="rId4" Target="../customXml/item1.xml" Type="http://schemas.openxmlformats.org/officeDocument/2006/relationships/customXml"/><Relationship Id="rId5" Target="theme/theme1.xml" Type="http://schemas.openxmlformats.org/officeDocument/2006/relationships/theme"/><Relationship Id="rId6" Target="styles.xml" Type="http://schemas.openxmlformats.org/officeDocument/2006/relationships/styles"/><Relationship Id="rId7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2026-06-22T09:18:32Z</dcterms:created>
  <dc:creator>Kilig</dc:creator>
  <cp:lastModifiedBy>Administrator</cp:lastModifiedBy>
  <dcterms:modified xsi:type="dcterms:W3CDTF">2026-06-22T09:18:33Z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ACB1C9F5898D4169BEE5A9C84E45FCC5_11</vt:lpwstr>
  </property>
  <property fmtid="{D5CDD505-2E9C-101B-9397-08002B2CF9AE}" pid="3" name="KSOProductBuildVer">
    <vt:lpwstr>2052-11.1.0.10314</vt:lpwstr>
  </property>
  <property fmtid="{D5CDD505-2E9C-101B-9397-08002B2CF9AE}" pid="4" name="KSOTemplateDocerSaveRecord">
    <vt:lpwstr>eyJoZGlkIjoiZDk4ZjY4YWY5Mzc3YWE5NzU1YjE1NDkzY2RmZWRkNDIiLCJ1c2VySWQiOiIxNDA1NTc1MDg4In0=</vt:lpwstr>
  </property>
</Properties>
</file>